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49D5" w14:textId="77777777" w:rsidR="008D77C9" w:rsidRPr="00ED4E9E" w:rsidRDefault="00ED4E9E" w:rsidP="00847C74">
      <w:pPr>
        <w:pStyle w:val="NoSpacing"/>
        <w:jc w:val="center"/>
        <w:rPr>
          <w:b/>
          <w:sz w:val="26"/>
          <w:szCs w:val="26"/>
        </w:rPr>
      </w:pPr>
      <w:r w:rsidRPr="00ED4E9E">
        <w:rPr>
          <w:b/>
          <w:sz w:val="26"/>
          <w:szCs w:val="26"/>
        </w:rPr>
        <w:t>GUIDELINES FOR CARRYING OUT A RISK ASSESSMENT</w:t>
      </w:r>
    </w:p>
    <w:p w14:paraId="370C1685" w14:textId="77777777" w:rsidR="00ED4E9E" w:rsidRDefault="00ED4E9E" w:rsidP="008D77C9">
      <w:pPr>
        <w:pStyle w:val="NoSpacing"/>
        <w:jc w:val="both"/>
      </w:pPr>
    </w:p>
    <w:p w14:paraId="65C8B140" w14:textId="77777777" w:rsidR="008D77C9" w:rsidRPr="0076161C" w:rsidRDefault="008D77C9" w:rsidP="008D77C9">
      <w:pPr>
        <w:pStyle w:val="NoSpacing"/>
        <w:jc w:val="both"/>
      </w:pPr>
      <w:r w:rsidRPr="0076161C">
        <w:t>Any</w:t>
      </w:r>
      <w:r>
        <w:t xml:space="preserve"> club</w:t>
      </w:r>
      <w:r w:rsidRPr="0076161C">
        <w:t xml:space="preserve"> </w:t>
      </w:r>
      <w:r>
        <w:t>trip / travel to an activity</w:t>
      </w:r>
      <w:r w:rsidRPr="0076161C">
        <w:t xml:space="preserve"> will involve the undertaking of a risk assessment to determine the risk level for related to th</w:t>
      </w:r>
      <w:r>
        <w:t>at</w:t>
      </w:r>
      <w:r w:rsidRPr="0076161C">
        <w:t xml:space="preserve"> particular </w:t>
      </w:r>
      <w:r>
        <w:t>trip</w:t>
      </w:r>
      <w:r w:rsidRPr="0076161C">
        <w:t xml:space="preserve">, and what additional measures are needed to reduce this risk.  </w:t>
      </w:r>
    </w:p>
    <w:p w14:paraId="5F44C249" w14:textId="77777777" w:rsidR="008D77C9" w:rsidRPr="0076161C" w:rsidRDefault="008D77C9" w:rsidP="008D77C9">
      <w:pPr>
        <w:pStyle w:val="NoSpacing"/>
        <w:jc w:val="both"/>
      </w:pPr>
    </w:p>
    <w:p w14:paraId="6BDE42C8" w14:textId="77777777" w:rsidR="007058BC" w:rsidRDefault="008D77C9" w:rsidP="008D77C9">
      <w:pPr>
        <w:pStyle w:val="NoSpacing"/>
        <w:jc w:val="both"/>
      </w:pPr>
      <w:r w:rsidRPr="0076161C">
        <w:t xml:space="preserve">The additional measures, called Control Measures, will consist of reasonably practicable measures, to mitigate or eliminate hazards that create risk.  The objective is to reduce, either immediately or within a reasonable timeframe, the level of risk completely or to a tolerable or acceptable level.   </w:t>
      </w:r>
    </w:p>
    <w:p w14:paraId="48B4F1CF" w14:textId="77777777" w:rsidR="00ED4E9E" w:rsidRDefault="00ED4E9E" w:rsidP="008D77C9">
      <w:pPr>
        <w:pStyle w:val="NoSpacing"/>
        <w:jc w:val="both"/>
      </w:pPr>
    </w:p>
    <w:p w14:paraId="60AD757A" w14:textId="77777777" w:rsidR="008D77C9" w:rsidRDefault="008D77C9" w:rsidP="00B93F4E">
      <w:pPr>
        <w:pStyle w:val="NoSpacing"/>
        <w:numPr>
          <w:ilvl w:val="0"/>
          <w:numId w:val="10"/>
        </w:numPr>
        <w:rPr>
          <w:b/>
          <w:color w:val="808080" w:themeColor="background1" w:themeShade="80"/>
          <w:sz w:val="24"/>
          <w:szCs w:val="24"/>
        </w:rPr>
      </w:pPr>
      <w:bookmarkStart w:id="0" w:name="_Toc51645649"/>
      <w:r w:rsidRPr="007D2C6C">
        <w:rPr>
          <w:b/>
          <w:color w:val="808080" w:themeColor="background1" w:themeShade="80"/>
          <w:sz w:val="24"/>
          <w:szCs w:val="24"/>
        </w:rPr>
        <w:t>RISK ASSESSMENT METHODOLOGY</w:t>
      </w:r>
      <w:bookmarkEnd w:id="0"/>
    </w:p>
    <w:p w14:paraId="7980BD02" w14:textId="77777777" w:rsidR="008D77C9" w:rsidRPr="00ED4E9E" w:rsidRDefault="008D77C9" w:rsidP="00B93F4E">
      <w:pPr>
        <w:pStyle w:val="NoSpacing"/>
        <w:numPr>
          <w:ilvl w:val="1"/>
          <w:numId w:val="10"/>
        </w:numPr>
        <w:rPr>
          <w:i/>
          <w:u w:val="single"/>
        </w:rPr>
      </w:pPr>
      <w:bookmarkStart w:id="1" w:name="_Toc51645650"/>
      <w:r w:rsidRPr="00ED4E9E">
        <w:rPr>
          <w:i/>
          <w:u w:val="single"/>
        </w:rPr>
        <w:t>IDENTIFICATION OF RISK</w:t>
      </w:r>
      <w:bookmarkEnd w:id="1"/>
      <w:r w:rsidRPr="00ED4E9E">
        <w:rPr>
          <w:i/>
          <w:u w:val="single"/>
        </w:rPr>
        <w:t xml:space="preserve"> </w:t>
      </w:r>
    </w:p>
    <w:p w14:paraId="5ADFE0F3" w14:textId="77777777" w:rsidR="00761F51" w:rsidRDefault="00761F51" w:rsidP="00761F51">
      <w:pPr>
        <w:pStyle w:val="NoSpacing"/>
      </w:pPr>
    </w:p>
    <w:p w14:paraId="59C5A16B" w14:textId="77777777" w:rsidR="008D77C9" w:rsidRPr="00127B46" w:rsidRDefault="008D77C9" w:rsidP="00761F51">
      <w:pPr>
        <w:jc w:val="both"/>
      </w:pPr>
      <w:r w:rsidRPr="00C9502A">
        <w:t>A </w:t>
      </w:r>
      <w:r w:rsidRPr="00C9502A">
        <w:rPr>
          <w:b/>
        </w:rPr>
        <w:t>hazard</w:t>
      </w:r>
      <w:r w:rsidRPr="00C9502A">
        <w:t> is something that can cause harm.  A </w:t>
      </w:r>
      <w:r w:rsidRPr="00C9502A">
        <w:rPr>
          <w:b/>
        </w:rPr>
        <w:t>risk</w:t>
      </w:r>
      <w:r w:rsidRPr="00C9502A">
        <w:t> is the chance or likelihood, high or low, that any hazard will actually cause somebody harm. </w:t>
      </w:r>
      <w:r w:rsidRPr="00127B46">
        <w:t xml:space="preserve">The first step in the process is to identify those hazards that present a risk </w:t>
      </w:r>
      <w:r w:rsidR="003F1AEB">
        <w:t>to an individual(s).</w:t>
      </w:r>
    </w:p>
    <w:p w14:paraId="0DCE693B" w14:textId="77777777" w:rsidR="008D77C9" w:rsidRDefault="008D77C9" w:rsidP="008D77C9">
      <w:pPr>
        <w:pStyle w:val="NoSpacing"/>
        <w:jc w:val="both"/>
      </w:pPr>
      <w:r w:rsidRPr="00127B46">
        <w:t xml:space="preserve">The identification of hazards is based on assessment </w:t>
      </w:r>
      <w:r w:rsidR="003F1AEB">
        <w:t>by the</w:t>
      </w:r>
      <w:r w:rsidRPr="00127B46">
        <w:t xml:space="preserve"> </w:t>
      </w:r>
      <w:r w:rsidR="003F1AEB">
        <w:t>C</w:t>
      </w:r>
      <w:r w:rsidRPr="00127B46">
        <w:t>lub having regard to the application of judgement and common sense to the particular circumstances.</w:t>
      </w:r>
    </w:p>
    <w:p w14:paraId="42A7AA5D" w14:textId="77777777" w:rsidR="00ED4E9E" w:rsidRPr="00127B46" w:rsidRDefault="00ED4E9E" w:rsidP="008D77C9">
      <w:pPr>
        <w:pStyle w:val="NoSpacing"/>
        <w:jc w:val="both"/>
      </w:pPr>
    </w:p>
    <w:p w14:paraId="353F98E3" w14:textId="77777777" w:rsidR="008D77C9" w:rsidRPr="00ED4E9E" w:rsidRDefault="008D77C9" w:rsidP="00B93F4E">
      <w:pPr>
        <w:pStyle w:val="NoSpacing"/>
        <w:numPr>
          <w:ilvl w:val="1"/>
          <w:numId w:val="10"/>
        </w:numPr>
        <w:rPr>
          <w:i/>
          <w:u w:val="single"/>
        </w:rPr>
      </w:pPr>
      <w:bookmarkStart w:id="2" w:name="_Toc51645651"/>
      <w:r w:rsidRPr="00ED4E9E">
        <w:rPr>
          <w:i/>
          <w:u w:val="single"/>
        </w:rPr>
        <w:t>INSPECTION METHODOLOGY</w:t>
      </w:r>
      <w:bookmarkEnd w:id="2"/>
    </w:p>
    <w:p w14:paraId="63D913E8" w14:textId="77777777" w:rsidR="00761F51" w:rsidRDefault="00761F51" w:rsidP="008D77C9">
      <w:pPr>
        <w:pStyle w:val="NoSpacing"/>
        <w:jc w:val="both"/>
      </w:pPr>
    </w:p>
    <w:p w14:paraId="19DD8426" w14:textId="77777777" w:rsidR="008D77C9" w:rsidRDefault="008D77C9" w:rsidP="008D77C9">
      <w:pPr>
        <w:pStyle w:val="NoSpacing"/>
        <w:jc w:val="both"/>
      </w:pPr>
      <w:r w:rsidRPr="003F1AEB">
        <w:t xml:space="preserve">The Risk Assessment </w:t>
      </w:r>
      <w:r w:rsidR="003F1AEB" w:rsidRPr="003F1AEB">
        <w:t xml:space="preserve">must be undertaken prior to the trip and may involve an </w:t>
      </w:r>
      <w:r w:rsidRPr="003F1AEB">
        <w:t xml:space="preserve">inspection of </w:t>
      </w:r>
      <w:r w:rsidR="003F1AEB" w:rsidRPr="003F1AEB">
        <w:t>the venues proposed for the trip</w:t>
      </w:r>
      <w:r w:rsidRPr="003F1AEB">
        <w:t xml:space="preserve">.  The inspection </w:t>
      </w:r>
      <w:r w:rsidR="00761F51">
        <w:t xml:space="preserve">may include </w:t>
      </w:r>
      <w:r w:rsidRPr="003F1AEB">
        <w:t>any observations of physical limitations or installations, specific venue practices</w:t>
      </w:r>
      <w:r w:rsidR="003F1AEB">
        <w:t xml:space="preserve"> or procedures</w:t>
      </w:r>
      <w:r w:rsidRPr="003F1AEB">
        <w:t xml:space="preserve">, administrative processes and so forth. </w:t>
      </w:r>
      <w:r w:rsidR="003F1AEB">
        <w:t xml:space="preserve"> </w:t>
      </w:r>
      <w:r w:rsidRPr="003F1AEB">
        <w:t xml:space="preserve">The inspection </w:t>
      </w:r>
      <w:r w:rsidR="00761F51">
        <w:t>may</w:t>
      </w:r>
      <w:r w:rsidR="003F1AEB" w:rsidRPr="003F1AEB">
        <w:t xml:space="preserve"> also include</w:t>
      </w:r>
      <w:r w:rsidRPr="003F1AEB">
        <w:t xml:space="preserve"> communication with the</w:t>
      </w:r>
      <w:r w:rsidR="003F1AEB" w:rsidRPr="003F1AEB">
        <w:t xml:space="preserve"> service providers</w:t>
      </w:r>
      <w:r w:rsidR="00761F51">
        <w:t xml:space="preserve"> </w:t>
      </w:r>
      <w:r w:rsidR="003F1AEB" w:rsidRPr="003F1AEB">
        <w:t>/</w:t>
      </w:r>
      <w:r w:rsidRPr="003F1AEB">
        <w:t xml:space="preserve"> venue owners </w:t>
      </w:r>
      <w:r w:rsidR="003F1AEB" w:rsidRPr="003F1AEB">
        <w:t>&amp;</w:t>
      </w:r>
      <w:r w:rsidRPr="003F1AEB">
        <w:t xml:space="preserve"> management taking into account </w:t>
      </w:r>
      <w:r w:rsidR="003F1AEB" w:rsidRPr="003F1AEB">
        <w:t xml:space="preserve">the Club’s specific requirements, </w:t>
      </w:r>
      <w:r w:rsidRPr="003F1AEB">
        <w:t>multi-use environment</w:t>
      </w:r>
      <w:r w:rsidR="003F1AEB" w:rsidRPr="003F1AEB">
        <w:t>s</w:t>
      </w:r>
      <w:r w:rsidRPr="003F1AEB">
        <w:t xml:space="preserve"> where other activities may also be taking place </w:t>
      </w:r>
      <w:r w:rsidR="003F1AEB" w:rsidRPr="003F1AEB">
        <w:t>during your trip.</w:t>
      </w:r>
      <w:r w:rsidRPr="003F1AEB">
        <w:t xml:space="preserve"> </w:t>
      </w:r>
    </w:p>
    <w:p w14:paraId="6223699D" w14:textId="77777777" w:rsidR="00ED4E9E" w:rsidRPr="003F1AEB" w:rsidRDefault="00ED4E9E" w:rsidP="008D77C9">
      <w:pPr>
        <w:pStyle w:val="NoSpacing"/>
        <w:jc w:val="both"/>
      </w:pPr>
    </w:p>
    <w:p w14:paraId="3F2B9F7C" w14:textId="77777777" w:rsidR="008D77C9" w:rsidRPr="007D2C6C" w:rsidRDefault="008D77C9" w:rsidP="00B93F4E">
      <w:pPr>
        <w:pStyle w:val="NoSpacing"/>
        <w:numPr>
          <w:ilvl w:val="1"/>
          <w:numId w:val="10"/>
        </w:numPr>
        <w:rPr>
          <w:i/>
          <w:u w:val="single"/>
        </w:rPr>
      </w:pPr>
      <w:bookmarkStart w:id="3" w:name="_Toc51645654"/>
      <w:r w:rsidRPr="007D2C6C">
        <w:rPr>
          <w:i/>
          <w:u w:val="single"/>
        </w:rPr>
        <w:t>CONTROL MEASURES</w:t>
      </w:r>
      <w:bookmarkEnd w:id="3"/>
    </w:p>
    <w:p w14:paraId="0792344A" w14:textId="77777777" w:rsidR="008D77C9" w:rsidRPr="009219B5" w:rsidRDefault="008D77C9" w:rsidP="008D77C9">
      <w:pPr>
        <w:pStyle w:val="NoSpacing"/>
        <w:jc w:val="both"/>
      </w:pPr>
      <w:r w:rsidRPr="009219B5">
        <w:t>By identi</w:t>
      </w:r>
      <w:r w:rsidR="007D2C6C">
        <w:t xml:space="preserve">fying and examining the hazards, </w:t>
      </w:r>
      <w:r w:rsidRPr="009219B5">
        <w:t xml:space="preserve">we can ensure that the club responds to the risk they </w:t>
      </w:r>
      <w:r w:rsidR="007D2C6C">
        <w:t xml:space="preserve">are </w:t>
      </w:r>
      <w:r w:rsidRPr="009219B5">
        <w:t>present</w:t>
      </w:r>
      <w:r w:rsidR="007D2C6C">
        <w:t>ed with</w:t>
      </w:r>
      <w:r w:rsidRPr="009219B5">
        <w:t xml:space="preserve"> by putting effective measures (or controls) in place to deal with them. Each hazard will be different and will have a different risk level and therefore the response to each will be different too.  </w:t>
      </w:r>
    </w:p>
    <w:p w14:paraId="0EEC9F00" w14:textId="77777777" w:rsidR="008D77C9" w:rsidRPr="009219B5" w:rsidRDefault="008D77C9" w:rsidP="008D77C9">
      <w:pPr>
        <w:pStyle w:val="NoSpacing"/>
        <w:jc w:val="both"/>
      </w:pPr>
    </w:p>
    <w:p w14:paraId="269C8B9B" w14:textId="77777777" w:rsidR="008D77C9" w:rsidRPr="009219B5" w:rsidRDefault="008D77C9" w:rsidP="008D77C9">
      <w:pPr>
        <w:pStyle w:val="NoSpacing"/>
        <w:jc w:val="both"/>
      </w:pPr>
      <w:r w:rsidRPr="009219B5">
        <w:t>When responding to an identified risk there are 4 broad responses:</w:t>
      </w:r>
    </w:p>
    <w:p w14:paraId="5EA49385" w14:textId="77777777" w:rsidR="008D77C9" w:rsidRPr="009219B5" w:rsidRDefault="008D77C9" w:rsidP="008D77C9">
      <w:pPr>
        <w:pStyle w:val="NoSpacing"/>
        <w:numPr>
          <w:ilvl w:val="0"/>
          <w:numId w:val="4"/>
        </w:numPr>
        <w:jc w:val="both"/>
      </w:pPr>
      <w:r w:rsidRPr="009219B5">
        <w:rPr>
          <w:b/>
        </w:rPr>
        <w:t xml:space="preserve">Transfer </w:t>
      </w:r>
      <w:r w:rsidRPr="009219B5">
        <w:t>- Pass on to someone else, e.g. insurance company.</w:t>
      </w:r>
    </w:p>
    <w:p w14:paraId="6ABC49D4" w14:textId="77777777" w:rsidR="008D77C9" w:rsidRPr="009219B5" w:rsidRDefault="008D77C9" w:rsidP="008D77C9">
      <w:pPr>
        <w:pStyle w:val="NoSpacing"/>
        <w:numPr>
          <w:ilvl w:val="0"/>
          <w:numId w:val="4"/>
        </w:numPr>
        <w:jc w:val="both"/>
      </w:pPr>
      <w:r w:rsidRPr="009219B5">
        <w:rPr>
          <w:b/>
        </w:rPr>
        <w:t xml:space="preserve">Treat </w:t>
      </w:r>
      <w:r w:rsidRPr="009219B5">
        <w:t>- Take action to reduce the probability of the risk occurring or the impact of the risk should it occur.</w:t>
      </w:r>
    </w:p>
    <w:p w14:paraId="5469352A" w14:textId="77777777" w:rsidR="008D77C9" w:rsidRPr="009219B5" w:rsidRDefault="008D77C9" w:rsidP="008D77C9">
      <w:pPr>
        <w:pStyle w:val="NoSpacing"/>
        <w:numPr>
          <w:ilvl w:val="0"/>
          <w:numId w:val="4"/>
        </w:numPr>
        <w:jc w:val="both"/>
      </w:pPr>
      <w:r w:rsidRPr="009219B5">
        <w:rPr>
          <w:b/>
        </w:rPr>
        <w:t>Tolerate</w:t>
      </w:r>
      <w:r w:rsidRPr="009219B5">
        <w:t xml:space="preserve"> - Perhaps because nothing can be done at a reasonable cost to mitigate the risk, although the risk should be monitored to ensure it remains tolerable.</w:t>
      </w:r>
    </w:p>
    <w:p w14:paraId="63295C5B" w14:textId="77777777" w:rsidR="008D77C9" w:rsidRPr="009219B5" w:rsidRDefault="008D77C9" w:rsidP="008D77C9">
      <w:pPr>
        <w:pStyle w:val="NoSpacing"/>
        <w:numPr>
          <w:ilvl w:val="0"/>
          <w:numId w:val="4"/>
        </w:numPr>
        <w:jc w:val="both"/>
      </w:pPr>
      <w:r w:rsidRPr="009219B5">
        <w:rPr>
          <w:b/>
        </w:rPr>
        <w:t>Terminate</w:t>
      </w:r>
      <w:r w:rsidRPr="009219B5">
        <w:t xml:space="preserve"> - Eliminate the risk perhaps by amending procedures/ processes.</w:t>
      </w:r>
    </w:p>
    <w:p w14:paraId="44C8EF91" w14:textId="77777777" w:rsidR="008D77C9" w:rsidRDefault="008D77C9" w:rsidP="007D2C6C">
      <w:pPr>
        <w:pStyle w:val="NoSpacing"/>
      </w:pPr>
    </w:p>
    <w:p w14:paraId="6B9B65B7" w14:textId="77777777" w:rsidR="007D2C6C" w:rsidRPr="004F649E" w:rsidRDefault="008D77C9" w:rsidP="00480AED">
      <w:pPr>
        <w:jc w:val="both"/>
      </w:pPr>
      <w:r w:rsidRPr="004F649E">
        <w:t>The c</w:t>
      </w:r>
      <w:r w:rsidR="007D2C6C">
        <w:t>urrent c</w:t>
      </w:r>
      <w:r w:rsidRPr="004F649E">
        <w:t>ontrol measures</w:t>
      </w:r>
      <w:r w:rsidR="007D2C6C">
        <w:t xml:space="preserve"> and additional measures contained in the template are provided as samples for the Club and </w:t>
      </w:r>
      <w:r w:rsidRPr="004F649E">
        <w:t>are considered to be reasonably practicable measures to reduce the exposure rating of the identified risks.</w:t>
      </w:r>
      <w:r w:rsidR="007D2C6C">
        <w:t xml:space="preserve"> Clubs must review and adapt these measures to their own particular circumstances.</w:t>
      </w:r>
    </w:p>
    <w:p w14:paraId="38FA14DC" w14:textId="77777777" w:rsidR="008D77C9" w:rsidRPr="003D0E55" w:rsidRDefault="008D77C9" w:rsidP="003D0E55">
      <w:pPr>
        <w:pStyle w:val="NoSpacing"/>
        <w:ind w:firstLine="720"/>
        <w:jc w:val="center"/>
        <w:rPr>
          <w:color w:val="000099"/>
          <w:u w:val="single"/>
        </w:rPr>
      </w:pPr>
    </w:p>
    <w:p w14:paraId="6CFF0F2A" w14:textId="77777777" w:rsidR="008D77C9" w:rsidRPr="007D2C6C" w:rsidRDefault="008D77C9" w:rsidP="00B93F4E">
      <w:pPr>
        <w:pStyle w:val="NoSpacing"/>
        <w:numPr>
          <w:ilvl w:val="1"/>
          <w:numId w:val="10"/>
        </w:numPr>
        <w:rPr>
          <w:i/>
          <w:u w:val="single"/>
        </w:rPr>
      </w:pPr>
      <w:bookmarkStart w:id="4" w:name="_Toc51645656"/>
      <w:r w:rsidRPr="007D2C6C">
        <w:rPr>
          <w:i/>
          <w:u w:val="single"/>
        </w:rPr>
        <w:t>RISK ASSESSMENT RESULTS</w:t>
      </w:r>
      <w:bookmarkEnd w:id="4"/>
    </w:p>
    <w:p w14:paraId="0FF5B6E5" w14:textId="77777777" w:rsidR="007D2C6C" w:rsidRDefault="007D2C6C" w:rsidP="008D77C9">
      <w:pPr>
        <w:pStyle w:val="NoSpacing"/>
        <w:jc w:val="both"/>
      </w:pPr>
      <w:r>
        <w:lastRenderedPageBreak/>
        <w:t xml:space="preserve">A member of the Club must complete the risk assessment in discussion with the Club Management Team or trip organiser /relevant coach.  </w:t>
      </w:r>
    </w:p>
    <w:p w14:paraId="607633C0" w14:textId="77777777" w:rsidR="007D2C6C" w:rsidRDefault="007D2C6C" w:rsidP="008D77C9">
      <w:pPr>
        <w:pStyle w:val="NoSpacing"/>
        <w:jc w:val="both"/>
      </w:pPr>
    </w:p>
    <w:p w14:paraId="31AC2E4F" w14:textId="77777777" w:rsidR="007D2C6C" w:rsidRDefault="007D2C6C" w:rsidP="008D77C9">
      <w:pPr>
        <w:pStyle w:val="NoSpacing"/>
        <w:jc w:val="both"/>
      </w:pPr>
      <w:r>
        <w:t>The risk assessment must be cir</w:t>
      </w:r>
      <w:r w:rsidRPr="007D2C6C">
        <w:t>culated to the relevant personnel</w:t>
      </w:r>
      <w:r>
        <w:t xml:space="preserve"> and the Club will retain </w:t>
      </w:r>
      <w:r w:rsidRPr="007D2C6C">
        <w:t>a copy for their records</w:t>
      </w:r>
      <w:r>
        <w:t>.</w:t>
      </w:r>
    </w:p>
    <w:p w14:paraId="35795335" w14:textId="77777777" w:rsidR="003D0E55" w:rsidRDefault="003D0E55" w:rsidP="008D77C9">
      <w:pPr>
        <w:pStyle w:val="NoSpacing"/>
        <w:jc w:val="both"/>
      </w:pPr>
    </w:p>
    <w:p w14:paraId="0A79EF2D" w14:textId="77777777" w:rsidR="003D0E55" w:rsidRDefault="003D0E55" w:rsidP="008D77C9">
      <w:pPr>
        <w:pStyle w:val="NoSpacing"/>
        <w:jc w:val="both"/>
      </w:pPr>
    </w:p>
    <w:p w14:paraId="02D93970" w14:textId="77777777" w:rsidR="003D0E55" w:rsidRDefault="003D0E55" w:rsidP="003D0E55">
      <w:pPr>
        <w:pStyle w:val="NoSpacing"/>
        <w:rPr>
          <w:i/>
          <w:u w:val="single"/>
        </w:rPr>
      </w:pPr>
      <w:r w:rsidRPr="00B022D9">
        <w:rPr>
          <w:i/>
          <w:u w:val="single"/>
        </w:rPr>
        <w:t xml:space="preserve">For example: </w:t>
      </w:r>
    </w:p>
    <w:p w14:paraId="627D37FB" w14:textId="77777777" w:rsidR="003D0E55" w:rsidRDefault="003D0E55" w:rsidP="003D0E55">
      <w:pPr>
        <w:pStyle w:val="NoSpacing"/>
        <w:rPr>
          <w:i/>
          <w:u w:val="single"/>
        </w:rPr>
      </w:pPr>
    </w:p>
    <w:p w14:paraId="78D97E29" w14:textId="77777777" w:rsidR="003D0E55" w:rsidRDefault="003D0E55" w:rsidP="003D0E55">
      <w:pPr>
        <w:pStyle w:val="NoSpacing"/>
      </w:pPr>
      <w:r w:rsidRPr="00B022D9">
        <w:t xml:space="preserve">Primary </w:t>
      </w:r>
      <w:r>
        <w:t xml:space="preserve">Exposure Rating </w:t>
      </w:r>
      <w:r w:rsidRPr="00B022D9">
        <w:t xml:space="preserve">Based </w:t>
      </w:r>
      <w:r>
        <w:t>o</w:t>
      </w:r>
      <w:r w:rsidRPr="00B022D9">
        <w:t xml:space="preserve">n </w:t>
      </w:r>
      <w:r>
        <w:t>n</w:t>
      </w:r>
      <w:r w:rsidRPr="00B022D9">
        <w:t>o Controls</w:t>
      </w:r>
      <w:r>
        <w:t xml:space="preserve"> =</w:t>
      </w:r>
    </w:p>
    <w:p w14:paraId="4AC9E3E7" w14:textId="77777777" w:rsidR="003D0E55" w:rsidRPr="003D0E55" w:rsidRDefault="003D0E55" w:rsidP="003D0E55">
      <w:pPr>
        <w:pStyle w:val="NoSpacing"/>
        <w:ind w:left="720"/>
        <w:rPr>
          <w:color w:val="000099"/>
          <w:u w:val="single"/>
        </w:rPr>
      </w:pPr>
      <w:r w:rsidRPr="003D0E55">
        <w:rPr>
          <w:color w:val="000099"/>
        </w:rPr>
        <w:t xml:space="preserve"> </w:t>
      </w:r>
      <w:r w:rsidRPr="003D0E55">
        <w:rPr>
          <w:color w:val="000099"/>
          <w:u w:val="single"/>
        </w:rPr>
        <w:t xml:space="preserve">Probability </w:t>
      </w:r>
      <w:r w:rsidRPr="003D0E55">
        <w:rPr>
          <w:color w:val="000099"/>
        </w:rPr>
        <w:tab/>
        <w:t>X</w:t>
      </w:r>
      <w:r w:rsidRPr="003D0E55">
        <w:rPr>
          <w:color w:val="000099"/>
        </w:rPr>
        <w:tab/>
      </w:r>
      <w:r w:rsidRPr="003D0E55">
        <w:rPr>
          <w:color w:val="000099"/>
          <w:u w:val="single"/>
        </w:rPr>
        <w:t>Impact</w:t>
      </w:r>
      <w:r w:rsidRPr="003D0E55">
        <w:rPr>
          <w:color w:val="000099"/>
        </w:rPr>
        <w:tab/>
        <w:t xml:space="preserve"> </w:t>
      </w:r>
      <w:r w:rsidRPr="003D0E55">
        <w:rPr>
          <w:color w:val="000099"/>
        </w:rPr>
        <w:tab/>
        <w:t xml:space="preserve">= </w:t>
      </w:r>
      <w:r w:rsidRPr="003D0E55">
        <w:rPr>
          <w:color w:val="000099"/>
        </w:rPr>
        <w:tab/>
      </w:r>
      <w:r w:rsidRPr="003D0E55">
        <w:rPr>
          <w:color w:val="000099"/>
          <w:u w:val="single"/>
        </w:rPr>
        <w:t xml:space="preserve">Exposure </w:t>
      </w:r>
    </w:p>
    <w:p w14:paraId="3E38FC3F" w14:textId="77777777" w:rsidR="003D0E55" w:rsidRDefault="003D0E55" w:rsidP="003D0E55">
      <w:pPr>
        <w:pStyle w:val="NoSpacing"/>
        <w:ind w:left="720" w:firstLine="720"/>
      </w:pPr>
      <w:r>
        <w:t>4</w:t>
      </w:r>
      <w:r>
        <w:tab/>
      </w:r>
      <w:r>
        <w:tab/>
        <w:t>1</w:t>
      </w:r>
      <w:r>
        <w:tab/>
      </w:r>
      <w:r>
        <w:tab/>
      </w:r>
      <w:r>
        <w:tab/>
        <w:t>4</w:t>
      </w:r>
      <w:r>
        <w:tab/>
      </w:r>
      <w:r>
        <w:tab/>
      </w:r>
      <w:r>
        <w:tab/>
        <w:t>Medium Risk</w:t>
      </w:r>
    </w:p>
    <w:p w14:paraId="2B31C2DF" w14:textId="77777777" w:rsidR="003D0E55" w:rsidRDefault="003D0E55" w:rsidP="003D0E55">
      <w:pPr>
        <w:pStyle w:val="NoSpacing"/>
      </w:pPr>
    </w:p>
    <w:p w14:paraId="2F0DB184" w14:textId="77777777" w:rsidR="003D0E55" w:rsidRDefault="003D0E55" w:rsidP="003D0E55">
      <w:pPr>
        <w:pStyle w:val="NoSpacing"/>
      </w:pPr>
      <w:r>
        <w:t xml:space="preserve">Taking in account the existing measures in place and the additional actions undertaken by the club to reduce the risk we now calculate the residual risk. In this case the control measures have lowered the impact of the risk: </w:t>
      </w:r>
    </w:p>
    <w:p w14:paraId="3B5FD9E3" w14:textId="77777777" w:rsidR="003D0E55" w:rsidRDefault="003D0E55" w:rsidP="003D0E55">
      <w:pPr>
        <w:pStyle w:val="NoSpacing"/>
        <w:ind w:left="720"/>
        <w:rPr>
          <w:u w:val="single"/>
        </w:rPr>
      </w:pPr>
    </w:p>
    <w:p w14:paraId="6736B77F" w14:textId="77777777" w:rsidR="003D0E55" w:rsidRPr="003D0E55" w:rsidRDefault="003D0E55" w:rsidP="003D0E55">
      <w:pPr>
        <w:pStyle w:val="NoSpacing"/>
        <w:ind w:left="720"/>
        <w:rPr>
          <w:color w:val="000099"/>
          <w:u w:val="single"/>
        </w:rPr>
      </w:pPr>
      <w:r w:rsidRPr="003D0E55">
        <w:rPr>
          <w:color w:val="000099"/>
          <w:u w:val="single"/>
        </w:rPr>
        <w:t xml:space="preserve">Probability </w:t>
      </w:r>
      <w:r w:rsidRPr="003D0E55">
        <w:rPr>
          <w:color w:val="000099"/>
        </w:rPr>
        <w:tab/>
        <w:t>X</w:t>
      </w:r>
      <w:r w:rsidRPr="003D0E55">
        <w:rPr>
          <w:color w:val="000099"/>
        </w:rPr>
        <w:tab/>
      </w:r>
      <w:r w:rsidRPr="003D0E55">
        <w:rPr>
          <w:color w:val="000099"/>
          <w:u w:val="single"/>
        </w:rPr>
        <w:t>Impact</w:t>
      </w:r>
      <w:r w:rsidRPr="003D0E55">
        <w:rPr>
          <w:color w:val="000099"/>
        </w:rPr>
        <w:tab/>
        <w:t xml:space="preserve"> </w:t>
      </w:r>
      <w:r w:rsidRPr="003D0E55">
        <w:rPr>
          <w:color w:val="000099"/>
        </w:rPr>
        <w:tab/>
        <w:t xml:space="preserve">= </w:t>
      </w:r>
      <w:r w:rsidRPr="003D0E55">
        <w:rPr>
          <w:color w:val="000099"/>
        </w:rPr>
        <w:tab/>
      </w:r>
      <w:r w:rsidRPr="003D0E55">
        <w:rPr>
          <w:color w:val="000099"/>
          <w:u w:val="single"/>
        </w:rPr>
        <w:t xml:space="preserve">Exposure </w:t>
      </w:r>
    </w:p>
    <w:p w14:paraId="392A81C4" w14:textId="77777777" w:rsidR="003D0E55" w:rsidRDefault="003D0E55" w:rsidP="003D0E55">
      <w:pPr>
        <w:pStyle w:val="NoSpacing"/>
      </w:pPr>
      <w:r>
        <w:t xml:space="preserve">                      4</w:t>
      </w:r>
      <w:r>
        <w:tab/>
      </w:r>
      <w:r>
        <w:tab/>
        <w:t xml:space="preserve">          </w:t>
      </w:r>
      <w:r>
        <w:tab/>
        <w:t xml:space="preserve">       1</w:t>
      </w:r>
      <w:r>
        <w:tab/>
      </w:r>
      <w:r>
        <w:tab/>
      </w:r>
      <w:r>
        <w:tab/>
        <w:t xml:space="preserve">      4</w:t>
      </w:r>
      <w:r>
        <w:tab/>
      </w:r>
      <w:r>
        <w:tab/>
      </w:r>
      <w:r>
        <w:tab/>
        <w:t>Low Risk</w:t>
      </w:r>
    </w:p>
    <w:p w14:paraId="2EC114FF" w14:textId="77777777" w:rsidR="008D77C9" w:rsidRPr="00B022D9" w:rsidRDefault="008D77C9" w:rsidP="008D77C9">
      <w:pPr>
        <w:pStyle w:val="NoSpacing"/>
        <w:rPr>
          <w:i/>
          <w:u w:val="single"/>
        </w:rPr>
      </w:pPr>
    </w:p>
    <w:tbl>
      <w:tblPr>
        <w:tblpPr w:leftFromText="180" w:rightFromText="180" w:vertAnchor="text" w:horzAnchor="margin" w:tblpX="-152" w:tblpY="156"/>
        <w:tblOverlap w:val="never"/>
        <w:tblW w:w="8926"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422"/>
        <w:gridCol w:w="422"/>
        <w:gridCol w:w="425"/>
        <w:gridCol w:w="709"/>
        <w:gridCol w:w="1984"/>
        <w:gridCol w:w="2410"/>
        <w:gridCol w:w="561"/>
        <w:gridCol w:w="426"/>
        <w:gridCol w:w="567"/>
      </w:tblGrid>
      <w:tr w:rsidR="00847C74" w:rsidRPr="00155A0C" w14:paraId="69D1582C" w14:textId="77777777" w:rsidTr="00847C74">
        <w:trPr>
          <w:trHeight w:val="837"/>
          <w:tblHeader/>
        </w:trPr>
        <w:tc>
          <w:tcPr>
            <w:tcW w:w="1422" w:type="dxa"/>
            <w:vMerge w:val="restart"/>
            <w:tcBorders>
              <w:top w:val="single" w:sz="4" w:space="0" w:color="auto"/>
              <w:left w:val="single" w:sz="4" w:space="0" w:color="auto"/>
              <w:right w:val="single" w:sz="6" w:space="0" w:color="FFFFFF"/>
            </w:tcBorders>
            <w:shd w:val="clear" w:color="auto" w:fill="7030A0"/>
          </w:tcPr>
          <w:p w14:paraId="404F377B"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r w:rsidRPr="00B022D9">
              <w:rPr>
                <w:color w:val="FFFFFF"/>
                <w:sz w:val="20"/>
                <w:szCs w:val="20"/>
              </w:rPr>
              <w:t>HAZARD</w:t>
            </w:r>
          </w:p>
          <w:p w14:paraId="3A10300B"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r w:rsidRPr="00B022D9">
              <w:rPr>
                <w:color w:val="FFFFFF"/>
                <w:sz w:val="20"/>
                <w:szCs w:val="20"/>
              </w:rPr>
              <w:t>RISKS</w:t>
            </w:r>
          </w:p>
        </w:tc>
        <w:tc>
          <w:tcPr>
            <w:tcW w:w="1556" w:type="dxa"/>
            <w:gridSpan w:val="3"/>
            <w:tcBorders>
              <w:top w:val="single" w:sz="4" w:space="0" w:color="auto"/>
              <w:left w:val="single" w:sz="6" w:space="0" w:color="FFFFFF"/>
              <w:bottom w:val="single" w:sz="6" w:space="0" w:color="FFFFFF"/>
              <w:right w:val="single" w:sz="6" w:space="0" w:color="FFFFFF"/>
            </w:tcBorders>
            <w:shd w:val="clear" w:color="auto" w:fill="7030A0"/>
          </w:tcPr>
          <w:p w14:paraId="1A0FDEFB" w14:textId="77777777" w:rsidR="00847C74" w:rsidRPr="00B022D9" w:rsidRDefault="00847C74" w:rsidP="00847C74">
            <w:pPr>
              <w:pStyle w:val="Table-Heading2"/>
              <w:framePr w:hSpace="0" w:wrap="auto" w:vAnchor="margin" w:hAnchor="text" w:xAlign="left" w:yAlign="inline"/>
              <w:tabs>
                <w:tab w:val="left" w:pos="9214"/>
              </w:tabs>
              <w:rPr>
                <w:color w:val="FFFFFF"/>
                <w:sz w:val="20"/>
                <w:szCs w:val="20"/>
              </w:rPr>
            </w:pPr>
            <w:r w:rsidRPr="00B022D9">
              <w:rPr>
                <w:color w:val="FFFFFF"/>
                <w:sz w:val="20"/>
                <w:szCs w:val="20"/>
              </w:rPr>
              <w:t xml:space="preserve">PRIMARY </w:t>
            </w:r>
            <w:r>
              <w:rPr>
                <w:color w:val="FFFFFF"/>
                <w:sz w:val="20"/>
                <w:szCs w:val="20"/>
              </w:rPr>
              <w:t xml:space="preserve">RISK </w:t>
            </w:r>
            <w:r w:rsidRPr="00B022D9">
              <w:rPr>
                <w:color w:val="FFFFFF"/>
                <w:sz w:val="20"/>
                <w:szCs w:val="20"/>
              </w:rPr>
              <w:t>BASED ON NO CONTROLS</w:t>
            </w:r>
          </w:p>
        </w:tc>
        <w:tc>
          <w:tcPr>
            <w:tcW w:w="1984" w:type="dxa"/>
            <w:tcBorders>
              <w:top w:val="single" w:sz="4" w:space="0" w:color="auto"/>
              <w:left w:val="single" w:sz="6" w:space="0" w:color="FFFFFF"/>
              <w:right w:val="single" w:sz="6" w:space="0" w:color="FFFFFF"/>
            </w:tcBorders>
            <w:shd w:val="clear" w:color="auto" w:fill="7030A0"/>
          </w:tcPr>
          <w:p w14:paraId="6DE9F383"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r w:rsidRPr="00B022D9">
              <w:rPr>
                <w:color w:val="FFFFFF"/>
                <w:sz w:val="20"/>
                <w:szCs w:val="20"/>
              </w:rPr>
              <w:t>EXISTING CONTROL</w:t>
            </w:r>
          </w:p>
          <w:p w14:paraId="432FC880"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r w:rsidRPr="00B022D9">
              <w:rPr>
                <w:color w:val="FFFFFF"/>
                <w:sz w:val="20"/>
                <w:szCs w:val="20"/>
              </w:rPr>
              <w:t>MEASURES</w:t>
            </w:r>
          </w:p>
        </w:tc>
        <w:tc>
          <w:tcPr>
            <w:tcW w:w="2410" w:type="dxa"/>
            <w:tcBorders>
              <w:top w:val="single" w:sz="4" w:space="0" w:color="auto"/>
              <w:left w:val="single" w:sz="6" w:space="0" w:color="FFFFFF"/>
              <w:right w:val="single" w:sz="6" w:space="0" w:color="FFFFFF"/>
            </w:tcBorders>
            <w:shd w:val="clear" w:color="auto" w:fill="7030A0"/>
          </w:tcPr>
          <w:p w14:paraId="1B2B9D29"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r w:rsidRPr="00B022D9">
              <w:rPr>
                <w:color w:val="FFFFFF"/>
                <w:sz w:val="20"/>
                <w:szCs w:val="20"/>
              </w:rPr>
              <w:t>ACTION REQUIRED WHERE RISKS ARE NOT ADEQUATELY CONTROLLED</w:t>
            </w:r>
          </w:p>
        </w:tc>
        <w:tc>
          <w:tcPr>
            <w:tcW w:w="1554" w:type="dxa"/>
            <w:gridSpan w:val="3"/>
            <w:tcBorders>
              <w:top w:val="single" w:sz="4" w:space="0" w:color="auto"/>
              <w:left w:val="single" w:sz="6" w:space="0" w:color="FFFFFF"/>
              <w:bottom w:val="single" w:sz="6" w:space="0" w:color="FFFFFF"/>
              <w:right w:val="single" w:sz="6" w:space="0" w:color="FFFFFF"/>
            </w:tcBorders>
            <w:shd w:val="clear" w:color="auto" w:fill="7030A0"/>
          </w:tcPr>
          <w:p w14:paraId="7338EC62" w14:textId="77777777" w:rsidR="00847C74" w:rsidRPr="00B022D9" w:rsidRDefault="00847C74" w:rsidP="00847C74">
            <w:pPr>
              <w:pStyle w:val="Table-Heading2"/>
              <w:framePr w:hSpace="0" w:wrap="auto" w:vAnchor="margin" w:hAnchor="text" w:xAlign="left" w:yAlign="inline"/>
              <w:tabs>
                <w:tab w:val="left" w:pos="9214"/>
              </w:tabs>
              <w:rPr>
                <w:color w:val="FFFFFF"/>
                <w:sz w:val="20"/>
                <w:szCs w:val="20"/>
              </w:rPr>
            </w:pPr>
            <w:r w:rsidRPr="00B022D9">
              <w:rPr>
                <w:color w:val="FFFFFF"/>
                <w:sz w:val="20"/>
                <w:szCs w:val="20"/>
              </w:rPr>
              <w:t>RESIDUAL RISK</w:t>
            </w:r>
          </w:p>
        </w:tc>
      </w:tr>
      <w:tr w:rsidR="00847C74" w:rsidRPr="00155A0C" w:rsidDel="00AD0A6A" w14:paraId="567BC145" w14:textId="77777777" w:rsidTr="00847C74">
        <w:trPr>
          <w:cantSplit/>
          <w:trHeight w:val="1259"/>
          <w:tblHeader/>
        </w:trPr>
        <w:tc>
          <w:tcPr>
            <w:tcW w:w="1422" w:type="dxa"/>
            <w:vMerge/>
            <w:tcBorders>
              <w:left w:val="single" w:sz="4" w:space="0" w:color="auto"/>
              <w:bottom w:val="single" w:sz="6" w:space="0" w:color="FFFFFF"/>
              <w:right w:val="single" w:sz="6" w:space="0" w:color="FFFFFF"/>
            </w:tcBorders>
            <w:shd w:val="clear" w:color="auto" w:fill="7030A0"/>
          </w:tcPr>
          <w:p w14:paraId="1F307178" w14:textId="77777777" w:rsidR="00847C74" w:rsidRPr="00B022D9" w:rsidDel="00AD0A6A" w:rsidRDefault="00847C74" w:rsidP="00847C74">
            <w:pPr>
              <w:pStyle w:val="Table-Heading2"/>
              <w:framePr w:hSpace="0" w:wrap="auto" w:vAnchor="margin" w:hAnchor="text" w:xAlign="left" w:yAlign="inline"/>
              <w:tabs>
                <w:tab w:val="left" w:pos="9214"/>
              </w:tabs>
              <w:jc w:val="left"/>
              <w:rPr>
                <w:color w:val="FFFFFF"/>
                <w:sz w:val="20"/>
                <w:szCs w:val="20"/>
              </w:rPr>
            </w:pPr>
          </w:p>
        </w:tc>
        <w:tc>
          <w:tcPr>
            <w:tcW w:w="422" w:type="dxa"/>
            <w:tcBorders>
              <w:top w:val="single" w:sz="4" w:space="0" w:color="auto"/>
              <w:left w:val="single" w:sz="6" w:space="0" w:color="FFFFFF"/>
              <w:bottom w:val="single" w:sz="6" w:space="0" w:color="FFFFFF"/>
              <w:right w:val="single" w:sz="6" w:space="0" w:color="FFFFFF"/>
            </w:tcBorders>
            <w:shd w:val="clear" w:color="auto" w:fill="7030A0"/>
            <w:textDirection w:val="btLr"/>
          </w:tcPr>
          <w:p w14:paraId="207DC823" w14:textId="77777777" w:rsidR="00847C74" w:rsidRPr="00B022D9" w:rsidDel="00AD0A6A" w:rsidRDefault="00847C74" w:rsidP="00847C74">
            <w:pPr>
              <w:pStyle w:val="Table-Heading2"/>
              <w:framePr w:hSpace="0" w:wrap="auto" w:vAnchor="margin" w:hAnchor="text" w:xAlign="left" w:yAlign="inline"/>
              <w:tabs>
                <w:tab w:val="left" w:pos="9214"/>
              </w:tabs>
              <w:ind w:right="-124"/>
              <w:rPr>
                <w:color w:val="FFFFFF"/>
                <w:sz w:val="16"/>
                <w:szCs w:val="16"/>
              </w:rPr>
            </w:pPr>
            <w:r w:rsidRPr="00B022D9">
              <w:rPr>
                <w:color w:val="FFFFFF"/>
                <w:sz w:val="16"/>
                <w:szCs w:val="16"/>
              </w:rPr>
              <w:t>PROBABILITY</w:t>
            </w:r>
          </w:p>
        </w:tc>
        <w:tc>
          <w:tcPr>
            <w:tcW w:w="425" w:type="dxa"/>
            <w:tcBorders>
              <w:top w:val="single" w:sz="4" w:space="0" w:color="auto"/>
              <w:left w:val="single" w:sz="6" w:space="0" w:color="FFFFFF"/>
              <w:bottom w:val="single" w:sz="6" w:space="0" w:color="FFFFFF"/>
              <w:right w:val="single" w:sz="6" w:space="0" w:color="FFFFFF"/>
            </w:tcBorders>
            <w:shd w:val="clear" w:color="auto" w:fill="7030A0"/>
            <w:textDirection w:val="btLr"/>
          </w:tcPr>
          <w:p w14:paraId="14739B64" w14:textId="77777777" w:rsidR="00847C74" w:rsidRPr="00B022D9" w:rsidDel="00AD0A6A" w:rsidRDefault="00847C74" w:rsidP="00847C74">
            <w:pPr>
              <w:pStyle w:val="Table-Heading2"/>
              <w:framePr w:hSpace="0" w:wrap="auto" w:vAnchor="margin" w:hAnchor="text" w:xAlign="left" w:yAlign="inline"/>
              <w:tabs>
                <w:tab w:val="left" w:pos="9214"/>
              </w:tabs>
              <w:ind w:right="-124"/>
              <w:rPr>
                <w:color w:val="FFFFFF"/>
                <w:sz w:val="16"/>
                <w:szCs w:val="16"/>
              </w:rPr>
            </w:pPr>
            <w:r w:rsidRPr="00B022D9">
              <w:rPr>
                <w:color w:val="FFFFFF"/>
                <w:sz w:val="16"/>
                <w:szCs w:val="16"/>
              </w:rPr>
              <w:t>IMPACT</w:t>
            </w:r>
          </w:p>
        </w:tc>
        <w:tc>
          <w:tcPr>
            <w:tcW w:w="709" w:type="dxa"/>
            <w:tcBorders>
              <w:top w:val="single" w:sz="4" w:space="0" w:color="auto"/>
              <w:left w:val="single" w:sz="6" w:space="0" w:color="FFFFFF"/>
              <w:bottom w:val="single" w:sz="6" w:space="0" w:color="FFFFFF"/>
              <w:right w:val="single" w:sz="6" w:space="0" w:color="FFFFFF"/>
            </w:tcBorders>
            <w:shd w:val="clear" w:color="auto" w:fill="7030A0"/>
            <w:textDirection w:val="btLr"/>
          </w:tcPr>
          <w:p w14:paraId="321D1968" w14:textId="77777777" w:rsidR="00847C74" w:rsidRPr="00B022D9" w:rsidDel="00AD0A6A" w:rsidRDefault="00847C74" w:rsidP="00847C74">
            <w:pPr>
              <w:pStyle w:val="Table-Heading2"/>
              <w:framePr w:hSpace="0" w:wrap="auto" w:vAnchor="margin" w:hAnchor="text" w:xAlign="left" w:yAlign="inline"/>
              <w:tabs>
                <w:tab w:val="left" w:pos="9214"/>
              </w:tabs>
              <w:ind w:right="-124"/>
              <w:rPr>
                <w:color w:val="FFFFFF"/>
                <w:sz w:val="16"/>
                <w:szCs w:val="16"/>
              </w:rPr>
            </w:pPr>
            <w:r w:rsidRPr="00B022D9">
              <w:rPr>
                <w:color w:val="FFFFFF"/>
                <w:sz w:val="16"/>
                <w:szCs w:val="16"/>
              </w:rPr>
              <w:t>EXPOSURE</w:t>
            </w:r>
          </w:p>
        </w:tc>
        <w:tc>
          <w:tcPr>
            <w:tcW w:w="1984" w:type="dxa"/>
            <w:tcBorders>
              <w:left w:val="single" w:sz="6" w:space="0" w:color="FFFFFF"/>
              <w:bottom w:val="single" w:sz="6" w:space="0" w:color="FFFFFF"/>
              <w:right w:val="single" w:sz="6" w:space="0" w:color="FFFFFF"/>
            </w:tcBorders>
            <w:shd w:val="clear" w:color="auto" w:fill="7030A0"/>
          </w:tcPr>
          <w:p w14:paraId="21646899" w14:textId="77777777" w:rsidR="00847C74" w:rsidRPr="00B022D9" w:rsidDel="00AD0A6A" w:rsidRDefault="00847C74" w:rsidP="00847C74">
            <w:pPr>
              <w:pStyle w:val="Table-Heading2"/>
              <w:framePr w:hSpace="0" w:wrap="auto" w:vAnchor="margin" w:hAnchor="text" w:xAlign="left" w:yAlign="inline"/>
              <w:tabs>
                <w:tab w:val="left" w:pos="9214"/>
              </w:tabs>
              <w:jc w:val="left"/>
              <w:rPr>
                <w:color w:val="FFFFFF"/>
                <w:sz w:val="20"/>
                <w:szCs w:val="20"/>
              </w:rPr>
            </w:pPr>
          </w:p>
        </w:tc>
        <w:tc>
          <w:tcPr>
            <w:tcW w:w="2410" w:type="dxa"/>
            <w:tcBorders>
              <w:left w:val="single" w:sz="6" w:space="0" w:color="FFFFFF"/>
              <w:bottom w:val="single" w:sz="6" w:space="0" w:color="FFFFFF"/>
              <w:right w:val="single" w:sz="6" w:space="0" w:color="FFFFFF"/>
            </w:tcBorders>
            <w:shd w:val="clear" w:color="auto" w:fill="7030A0"/>
            <w:textDirection w:val="btLr"/>
          </w:tcPr>
          <w:p w14:paraId="240D89CE" w14:textId="77777777" w:rsidR="00847C74" w:rsidRPr="00B022D9" w:rsidRDefault="00847C74" w:rsidP="00847C74">
            <w:pPr>
              <w:pStyle w:val="Table-Heading2"/>
              <w:framePr w:hSpace="0" w:wrap="auto" w:vAnchor="margin" w:hAnchor="text" w:xAlign="left" w:yAlign="inline"/>
              <w:tabs>
                <w:tab w:val="left" w:pos="9214"/>
              </w:tabs>
              <w:jc w:val="left"/>
              <w:rPr>
                <w:color w:val="FFFFFF"/>
                <w:sz w:val="20"/>
                <w:szCs w:val="20"/>
              </w:rPr>
            </w:pPr>
          </w:p>
        </w:tc>
        <w:tc>
          <w:tcPr>
            <w:tcW w:w="561" w:type="dxa"/>
            <w:tcBorders>
              <w:top w:val="single" w:sz="6" w:space="0" w:color="FFFFFF"/>
              <w:left w:val="single" w:sz="6" w:space="0" w:color="FFFFFF"/>
              <w:bottom w:val="single" w:sz="6" w:space="0" w:color="FFFFFF"/>
              <w:right w:val="single" w:sz="6" w:space="0" w:color="FFFFFF"/>
            </w:tcBorders>
            <w:shd w:val="clear" w:color="auto" w:fill="7030A0"/>
            <w:textDirection w:val="btLr"/>
          </w:tcPr>
          <w:p w14:paraId="366C5D9B" w14:textId="77777777" w:rsidR="00847C74" w:rsidRPr="00B022D9" w:rsidDel="00AD0A6A" w:rsidRDefault="00847C74" w:rsidP="00847C74">
            <w:pPr>
              <w:pStyle w:val="Table-Heading2"/>
              <w:framePr w:hSpace="0" w:wrap="auto" w:vAnchor="margin" w:hAnchor="text" w:xAlign="left" w:yAlign="inline"/>
              <w:tabs>
                <w:tab w:val="left" w:pos="9214"/>
              </w:tabs>
              <w:rPr>
                <w:color w:val="FFFFFF"/>
                <w:sz w:val="16"/>
                <w:szCs w:val="16"/>
              </w:rPr>
            </w:pPr>
            <w:r w:rsidRPr="00B022D9">
              <w:rPr>
                <w:color w:val="FFFFFF"/>
                <w:sz w:val="16"/>
                <w:szCs w:val="16"/>
              </w:rPr>
              <w:t xml:space="preserve">   PROBABILITY</w:t>
            </w:r>
          </w:p>
        </w:tc>
        <w:tc>
          <w:tcPr>
            <w:tcW w:w="426" w:type="dxa"/>
            <w:tcBorders>
              <w:top w:val="single" w:sz="6" w:space="0" w:color="FFFFFF"/>
              <w:left w:val="single" w:sz="6" w:space="0" w:color="FFFFFF"/>
              <w:bottom w:val="single" w:sz="6" w:space="0" w:color="FFFFFF"/>
              <w:right w:val="single" w:sz="6" w:space="0" w:color="FFFFFF"/>
            </w:tcBorders>
            <w:shd w:val="clear" w:color="auto" w:fill="7030A0"/>
            <w:textDirection w:val="btLr"/>
          </w:tcPr>
          <w:p w14:paraId="764FDEDE" w14:textId="77777777" w:rsidR="00847C74" w:rsidRPr="00B022D9" w:rsidDel="00AD0A6A" w:rsidRDefault="00847C74" w:rsidP="00847C74">
            <w:pPr>
              <w:pStyle w:val="Table-Heading2"/>
              <w:framePr w:hSpace="0" w:wrap="auto" w:vAnchor="margin" w:hAnchor="text" w:xAlign="left" w:yAlign="inline"/>
              <w:tabs>
                <w:tab w:val="left" w:pos="9214"/>
              </w:tabs>
              <w:rPr>
                <w:color w:val="FFFFFF"/>
                <w:sz w:val="16"/>
                <w:szCs w:val="16"/>
              </w:rPr>
            </w:pPr>
            <w:r w:rsidRPr="00B022D9">
              <w:rPr>
                <w:color w:val="FFFFFF"/>
                <w:sz w:val="16"/>
                <w:szCs w:val="16"/>
              </w:rPr>
              <w:t>IMPACT</w:t>
            </w:r>
          </w:p>
        </w:tc>
        <w:tc>
          <w:tcPr>
            <w:tcW w:w="567" w:type="dxa"/>
            <w:tcBorders>
              <w:top w:val="single" w:sz="6" w:space="0" w:color="FFFFFF"/>
              <w:left w:val="single" w:sz="6" w:space="0" w:color="FFFFFF"/>
              <w:bottom w:val="single" w:sz="6" w:space="0" w:color="FFFFFF"/>
              <w:right w:val="single" w:sz="6" w:space="0" w:color="FFFFFF"/>
            </w:tcBorders>
            <w:shd w:val="clear" w:color="auto" w:fill="7030A0"/>
            <w:textDirection w:val="btLr"/>
          </w:tcPr>
          <w:p w14:paraId="7125E980" w14:textId="77777777" w:rsidR="00847C74" w:rsidRPr="00B022D9" w:rsidDel="00AD0A6A" w:rsidRDefault="00847C74" w:rsidP="00847C74">
            <w:pPr>
              <w:pStyle w:val="Table-Heading2"/>
              <w:framePr w:hSpace="0" w:wrap="auto" w:vAnchor="margin" w:hAnchor="text" w:xAlign="left" w:yAlign="inline"/>
              <w:tabs>
                <w:tab w:val="left" w:pos="9214"/>
              </w:tabs>
              <w:rPr>
                <w:color w:val="FFFFFF"/>
                <w:sz w:val="16"/>
                <w:szCs w:val="16"/>
              </w:rPr>
            </w:pPr>
            <w:r w:rsidRPr="00B022D9">
              <w:rPr>
                <w:color w:val="FFFFFF"/>
                <w:sz w:val="16"/>
                <w:szCs w:val="16"/>
              </w:rPr>
              <w:t>EXPOSURE</w:t>
            </w:r>
          </w:p>
        </w:tc>
      </w:tr>
    </w:tbl>
    <w:tbl>
      <w:tblPr>
        <w:tblpPr w:leftFromText="180" w:rightFromText="180" w:vertAnchor="text" w:horzAnchor="margin" w:tblpX="-1150" w:tblpY="241"/>
        <w:tblOverlap w:val="never"/>
        <w:tblW w:w="8926"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413"/>
        <w:gridCol w:w="425"/>
        <w:gridCol w:w="425"/>
        <w:gridCol w:w="709"/>
        <w:gridCol w:w="1985"/>
        <w:gridCol w:w="2409"/>
        <w:gridCol w:w="567"/>
        <w:gridCol w:w="431"/>
        <w:gridCol w:w="562"/>
      </w:tblGrid>
      <w:tr w:rsidR="00847C74" w:rsidRPr="00B022D9" w14:paraId="4791C671" w14:textId="77777777" w:rsidTr="003D0E55">
        <w:tc>
          <w:tcPr>
            <w:tcW w:w="1413" w:type="dxa"/>
            <w:tcBorders>
              <w:top w:val="single" w:sz="6" w:space="0" w:color="FFFFFF"/>
              <w:left w:val="single" w:sz="4" w:space="0" w:color="auto"/>
              <w:bottom w:val="single" w:sz="4" w:space="0" w:color="auto"/>
              <w:right w:val="single" w:sz="6" w:space="0" w:color="auto"/>
            </w:tcBorders>
            <w:shd w:val="clear" w:color="auto" w:fill="E6E6E6"/>
          </w:tcPr>
          <w:p w14:paraId="64B251F3" w14:textId="77777777" w:rsidR="00847C74" w:rsidRPr="00847C74" w:rsidRDefault="00847C74" w:rsidP="00847C74">
            <w:pPr>
              <w:jc w:val="both"/>
              <w:rPr>
                <w:rFonts w:ascii="Calibri" w:hAnsi="Calibri" w:cs="Calibri"/>
                <w:color w:val="000000"/>
              </w:rPr>
            </w:pPr>
            <w:r>
              <w:rPr>
                <w:rFonts w:ascii="Calibri" w:hAnsi="Calibri" w:cs="Calibri"/>
                <w:color w:val="000000"/>
              </w:rPr>
              <w:t>Lack of Information</w:t>
            </w:r>
          </w:p>
        </w:tc>
        <w:tc>
          <w:tcPr>
            <w:tcW w:w="425" w:type="dxa"/>
            <w:tcBorders>
              <w:top w:val="single" w:sz="6" w:space="0" w:color="FFFFFF"/>
              <w:left w:val="single" w:sz="6" w:space="0" w:color="auto"/>
              <w:bottom w:val="single" w:sz="4" w:space="0" w:color="auto"/>
              <w:right w:val="single" w:sz="6" w:space="0" w:color="auto"/>
            </w:tcBorders>
            <w:shd w:val="clear" w:color="auto" w:fill="E6E6E6"/>
          </w:tcPr>
          <w:p w14:paraId="27FEC7F9"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4</w:t>
            </w:r>
          </w:p>
        </w:tc>
        <w:tc>
          <w:tcPr>
            <w:tcW w:w="425" w:type="dxa"/>
            <w:tcBorders>
              <w:top w:val="single" w:sz="6" w:space="0" w:color="FFFFFF"/>
              <w:left w:val="single" w:sz="6" w:space="0" w:color="auto"/>
              <w:bottom w:val="single" w:sz="4" w:space="0" w:color="auto"/>
              <w:right w:val="single" w:sz="6" w:space="0" w:color="auto"/>
            </w:tcBorders>
            <w:shd w:val="clear" w:color="auto" w:fill="E6E6E6"/>
          </w:tcPr>
          <w:p w14:paraId="744A561F"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3</w:t>
            </w:r>
          </w:p>
        </w:tc>
        <w:tc>
          <w:tcPr>
            <w:tcW w:w="709" w:type="dxa"/>
            <w:tcBorders>
              <w:top w:val="single" w:sz="6" w:space="0" w:color="FFFFFF"/>
              <w:left w:val="single" w:sz="6" w:space="0" w:color="auto"/>
              <w:bottom w:val="single" w:sz="4" w:space="0" w:color="auto"/>
              <w:right w:val="single" w:sz="6" w:space="0" w:color="auto"/>
            </w:tcBorders>
            <w:shd w:val="clear" w:color="auto" w:fill="FFC000" w:themeFill="accent4"/>
          </w:tcPr>
          <w:p w14:paraId="62D6EC14"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12</w:t>
            </w:r>
          </w:p>
        </w:tc>
        <w:tc>
          <w:tcPr>
            <w:tcW w:w="1985" w:type="dxa"/>
            <w:tcBorders>
              <w:top w:val="single" w:sz="6" w:space="0" w:color="FFFFFF"/>
              <w:left w:val="single" w:sz="6" w:space="0" w:color="auto"/>
              <w:bottom w:val="single" w:sz="4" w:space="0" w:color="auto"/>
              <w:right w:val="single" w:sz="6" w:space="0" w:color="auto"/>
            </w:tcBorders>
            <w:shd w:val="clear" w:color="auto" w:fill="E6E6E6"/>
          </w:tcPr>
          <w:p w14:paraId="6A2BAF2D" w14:textId="77777777" w:rsidR="00847C74" w:rsidRPr="00847C74" w:rsidRDefault="00847C74" w:rsidP="00847C74">
            <w:pPr>
              <w:jc w:val="both"/>
              <w:rPr>
                <w:rFonts w:ascii="Calibri" w:hAnsi="Calibri" w:cs="Calibri"/>
                <w:color w:val="000000"/>
              </w:rPr>
            </w:pPr>
            <w:r>
              <w:rPr>
                <w:rFonts w:ascii="Calibri" w:hAnsi="Calibri" w:cs="Calibri"/>
                <w:color w:val="000000"/>
              </w:rPr>
              <w:t>Appropriate lead in time allocated to the planning</w:t>
            </w:r>
          </w:p>
        </w:tc>
        <w:tc>
          <w:tcPr>
            <w:tcW w:w="2409" w:type="dxa"/>
            <w:tcBorders>
              <w:top w:val="single" w:sz="6" w:space="0" w:color="FFFFFF"/>
              <w:left w:val="single" w:sz="6" w:space="0" w:color="auto"/>
              <w:bottom w:val="single" w:sz="4" w:space="0" w:color="auto"/>
              <w:right w:val="single" w:sz="6" w:space="0" w:color="auto"/>
            </w:tcBorders>
            <w:shd w:val="clear" w:color="auto" w:fill="E6E6E6"/>
          </w:tcPr>
          <w:p w14:paraId="28EC517A"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Update all relevant documents and communicate the updated information to athletes and parent</w:t>
            </w:r>
          </w:p>
        </w:tc>
        <w:tc>
          <w:tcPr>
            <w:tcW w:w="567" w:type="dxa"/>
            <w:tcBorders>
              <w:top w:val="single" w:sz="6" w:space="0" w:color="FFFFFF"/>
              <w:left w:val="single" w:sz="6" w:space="0" w:color="auto"/>
              <w:bottom w:val="single" w:sz="4" w:space="0" w:color="auto"/>
              <w:right w:val="single" w:sz="6" w:space="0" w:color="auto"/>
            </w:tcBorders>
            <w:shd w:val="clear" w:color="auto" w:fill="E6E6E6"/>
          </w:tcPr>
          <w:p w14:paraId="0CFE8007"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4</w:t>
            </w:r>
          </w:p>
        </w:tc>
        <w:tc>
          <w:tcPr>
            <w:tcW w:w="431" w:type="dxa"/>
            <w:tcBorders>
              <w:top w:val="single" w:sz="6" w:space="0" w:color="FFFFFF"/>
              <w:left w:val="single" w:sz="6" w:space="0" w:color="auto"/>
              <w:bottom w:val="single" w:sz="4" w:space="0" w:color="auto"/>
              <w:right w:val="single" w:sz="6" w:space="0" w:color="auto"/>
            </w:tcBorders>
            <w:shd w:val="clear" w:color="auto" w:fill="E6E6E6"/>
          </w:tcPr>
          <w:p w14:paraId="1A8243B1"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1</w:t>
            </w:r>
          </w:p>
        </w:tc>
        <w:tc>
          <w:tcPr>
            <w:tcW w:w="562" w:type="dxa"/>
            <w:tcBorders>
              <w:top w:val="single" w:sz="6" w:space="0" w:color="FFFFFF"/>
              <w:left w:val="single" w:sz="6" w:space="0" w:color="auto"/>
              <w:bottom w:val="single" w:sz="4" w:space="0" w:color="auto"/>
              <w:right w:val="single" w:sz="6" w:space="0" w:color="auto"/>
            </w:tcBorders>
            <w:shd w:val="clear" w:color="auto" w:fill="70AD47" w:themeFill="accent6"/>
          </w:tcPr>
          <w:p w14:paraId="126BAB28" w14:textId="77777777" w:rsidR="00847C74" w:rsidRPr="00847C74" w:rsidRDefault="00847C74" w:rsidP="00847C74">
            <w:pPr>
              <w:jc w:val="both"/>
              <w:rPr>
                <w:rFonts w:ascii="Calibri" w:hAnsi="Calibri" w:cs="Calibri"/>
                <w:color w:val="000000"/>
              </w:rPr>
            </w:pPr>
            <w:r w:rsidRPr="00847C74">
              <w:rPr>
                <w:rFonts w:ascii="Calibri" w:hAnsi="Calibri" w:cs="Calibri"/>
                <w:color w:val="000000"/>
              </w:rPr>
              <w:t>4</w:t>
            </w:r>
          </w:p>
        </w:tc>
      </w:tr>
    </w:tbl>
    <w:p w14:paraId="3E76BDA2" w14:textId="77777777" w:rsidR="008D77C9" w:rsidRDefault="008D77C9" w:rsidP="008D77C9">
      <w:pPr>
        <w:pStyle w:val="NoSpacing"/>
      </w:pPr>
    </w:p>
    <w:p w14:paraId="6C55CEDC" w14:textId="77777777" w:rsidR="00847C74" w:rsidRDefault="00847C74" w:rsidP="008D77C9">
      <w:pPr>
        <w:pStyle w:val="NoSpacing"/>
      </w:pPr>
    </w:p>
    <w:p w14:paraId="32EDB40D" w14:textId="77777777" w:rsidR="00847C74" w:rsidRDefault="00847C74" w:rsidP="008D77C9">
      <w:pPr>
        <w:pStyle w:val="NoSpacing"/>
      </w:pPr>
    </w:p>
    <w:p w14:paraId="64212060" w14:textId="77777777" w:rsidR="008D77C9" w:rsidRDefault="008D77C9" w:rsidP="008D77C9">
      <w:pPr>
        <w:pStyle w:val="NoSpacing"/>
        <w:jc w:val="both"/>
      </w:pPr>
    </w:p>
    <w:p w14:paraId="65E3F1EB" w14:textId="77777777" w:rsidR="00B93F4E" w:rsidRDefault="00B93F4E" w:rsidP="007D2C6C">
      <w:pPr>
        <w:pStyle w:val="NoSpacing"/>
        <w:rPr>
          <w:b/>
          <w:color w:val="808080" w:themeColor="background1" w:themeShade="80"/>
          <w:sz w:val="24"/>
          <w:szCs w:val="24"/>
        </w:rPr>
      </w:pPr>
    </w:p>
    <w:p w14:paraId="74C4A58D" w14:textId="77777777" w:rsidR="007D2C6C" w:rsidRDefault="00B93F4E" w:rsidP="00B93F4E">
      <w:pPr>
        <w:pStyle w:val="NoSpacing"/>
        <w:numPr>
          <w:ilvl w:val="0"/>
          <w:numId w:val="10"/>
        </w:numPr>
        <w:rPr>
          <w:b/>
          <w:color w:val="808080" w:themeColor="background1" w:themeShade="80"/>
          <w:sz w:val="24"/>
          <w:szCs w:val="24"/>
        </w:rPr>
      </w:pPr>
      <w:r w:rsidRPr="007D2C6C">
        <w:rPr>
          <w:b/>
          <w:color w:val="808080" w:themeColor="background1" w:themeShade="80"/>
          <w:sz w:val="24"/>
          <w:szCs w:val="24"/>
        </w:rPr>
        <w:t xml:space="preserve">SUPPORT </w:t>
      </w:r>
      <w:r>
        <w:rPr>
          <w:b/>
          <w:color w:val="808080" w:themeColor="background1" w:themeShade="80"/>
          <w:sz w:val="24"/>
          <w:szCs w:val="24"/>
        </w:rPr>
        <w:t>FOR</w:t>
      </w:r>
      <w:r w:rsidRPr="007D2C6C">
        <w:rPr>
          <w:b/>
          <w:color w:val="808080" w:themeColor="background1" w:themeShade="80"/>
          <w:sz w:val="24"/>
          <w:szCs w:val="24"/>
        </w:rPr>
        <w:t xml:space="preserve"> CLUBS</w:t>
      </w:r>
    </w:p>
    <w:p w14:paraId="3710029E" w14:textId="77777777" w:rsidR="00B93F4E" w:rsidRDefault="00B93F4E" w:rsidP="00B93F4E">
      <w:pPr>
        <w:pStyle w:val="NoSpacing"/>
      </w:pPr>
    </w:p>
    <w:p w14:paraId="7C412C8E" w14:textId="77777777" w:rsidR="007D2C6C" w:rsidRDefault="007D2C6C">
      <w:r>
        <w:t xml:space="preserve">If the Club have </w:t>
      </w:r>
      <w:r w:rsidRPr="007D2C6C">
        <w:t xml:space="preserve">concerns arising from the Risk Assessment or in relation to the nature of the trip </w:t>
      </w:r>
      <w:r w:rsidR="00B93F4E">
        <w:t xml:space="preserve">please </w:t>
      </w:r>
      <w:r w:rsidRPr="007D2C6C">
        <w:t>discuss</w:t>
      </w:r>
      <w:r w:rsidR="00B93F4E">
        <w:t xml:space="preserve"> these</w:t>
      </w:r>
      <w:r w:rsidRPr="007D2C6C">
        <w:t xml:space="preserve"> with </w:t>
      </w:r>
      <w:r w:rsidR="00B93F4E">
        <w:t>your</w:t>
      </w:r>
      <w:r w:rsidRPr="007D2C6C">
        <w:t xml:space="preserve"> Regional </w:t>
      </w:r>
      <w:r w:rsidR="00B93F4E">
        <w:t>O</w:t>
      </w:r>
      <w:r w:rsidRPr="007D2C6C">
        <w:t>ffice to ensure the activity is covered under the Insurance Policy</w:t>
      </w:r>
      <w:r w:rsidR="00B93F4E">
        <w:t>.</w:t>
      </w:r>
    </w:p>
    <w:sectPr w:rsidR="007D2C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7C412" w14:textId="77777777" w:rsidR="00065DFE" w:rsidRDefault="00065DFE" w:rsidP="00ED4E9E">
      <w:pPr>
        <w:spacing w:after="0" w:line="240" w:lineRule="auto"/>
      </w:pPr>
      <w:r>
        <w:separator/>
      </w:r>
    </w:p>
  </w:endnote>
  <w:endnote w:type="continuationSeparator" w:id="0">
    <w:p w14:paraId="05979020" w14:textId="77777777" w:rsidR="00065DFE" w:rsidRDefault="00065DFE" w:rsidP="00ED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485535"/>
      <w:docPartObj>
        <w:docPartGallery w:val="Page Numbers (Bottom of Page)"/>
        <w:docPartUnique/>
      </w:docPartObj>
    </w:sdtPr>
    <w:sdtContent>
      <w:sdt>
        <w:sdtPr>
          <w:id w:val="-1705238520"/>
          <w:docPartObj>
            <w:docPartGallery w:val="Page Numbers (Top of Page)"/>
            <w:docPartUnique/>
          </w:docPartObj>
        </w:sdtPr>
        <w:sdtContent>
          <w:p w14:paraId="53F976AE" w14:textId="77777777" w:rsidR="00B93F4E" w:rsidRDefault="00B93F4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4253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2536">
              <w:rPr>
                <w:b/>
                <w:bCs/>
                <w:noProof/>
              </w:rPr>
              <w:t>4</w:t>
            </w:r>
            <w:r>
              <w:rPr>
                <w:b/>
                <w:bCs/>
                <w:sz w:val="24"/>
                <w:szCs w:val="24"/>
              </w:rPr>
              <w:fldChar w:fldCharType="end"/>
            </w:r>
          </w:p>
        </w:sdtContent>
      </w:sdt>
    </w:sdtContent>
  </w:sdt>
  <w:p w14:paraId="244ACB5A" w14:textId="77777777" w:rsidR="00B93F4E" w:rsidRDefault="00B93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C457" w14:textId="77777777" w:rsidR="00065DFE" w:rsidRDefault="00065DFE" w:rsidP="00ED4E9E">
      <w:pPr>
        <w:spacing w:after="0" w:line="240" w:lineRule="auto"/>
      </w:pPr>
      <w:r>
        <w:separator/>
      </w:r>
    </w:p>
  </w:footnote>
  <w:footnote w:type="continuationSeparator" w:id="0">
    <w:p w14:paraId="0E6C4005" w14:textId="77777777" w:rsidR="00065DFE" w:rsidRDefault="00065DFE" w:rsidP="00ED4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55E1"/>
    <w:multiLevelType w:val="hybridMultilevel"/>
    <w:tmpl w:val="6F8A8802"/>
    <w:lvl w:ilvl="0" w:tplc="5CCECC5E">
      <w:start w:val="1"/>
      <w:numFmt w:val="decimal"/>
      <w:lvlText w:val="%1."/>
      <w:lvlJc w:val="left"/>
      <w:pPr>
        <w:ind w:left="720" w:hanging="360"/>
      </w:pPr>
      <w:rPr>
        <w:color w:val="808080" w:themeColor="background1"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794A70"/>
    <w:multiLevelType w:val="hybridMultilevel"/>
    <w:tmpl w:val="4580C2CA"/>
    <w:lvl w:ilvl="0" w:tplc="19CAB8BE">
      <w:start w:val="1"/>
      <w:numFmt w:val="bullet"/>
      <w:lvlText w:val=""/>
      <w:lvlJc w:val="left"/>
      <w:pPr>
        <w:ind w:left="1440" w:hanging="360"/>
      </w:pPr>
      <w:rPr>
        <w:rFonts w:ascii="Wingdings" w:hAnsi="Wingdings" w:hint="default"/>
        <w:color w:val="000000" w:themeColor="text1"/>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9A5796C"/>
    <w:multiLevelType w:val="hybridMultilevel"/>
    <w:tmpl w:val="FF528FCE"/>
    <w:lvl w:ilvl="0" w:tplc="49B65072">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5F4E48"/>
    <w:multiLevelType w:val="hybridMultilevel"/>
    <w:tmpl w:val="BC62B282"/>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67641A"/>
    <w:multiLevelType w:val="multilevel"/>
    <w:tmpl w:val="8F9E14B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262C5E"/>
    <w:multiLevelType w:val="multilevel"/>
    <w:tmpl w:val="04187594"/>
    <w:lvl w:ilvl="0">
      <w:start w:val="1"/>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567472F8"/>
    <w:multiLevelType w:val="hybridMultilevel"/>
    <w:tmpl w:val="B9EABA9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73EE4469"/>
    <w:multiLevelType w:val="hybridMultilevel"/>
    <w:tmpl w:val="7B40E402"/>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E33581"/>
    <w:multiLevelType w:val="multilevel"/>
    <w:tmpl w:val="C464C5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7FF35D18"/>
    <w:multiLevelType w:val="hybridMultilevel"/>
    <w:tmpl w:val="D50CD85C"/>
    <w:lvl w:ilvl="0" w:tplc="EB909776">
      <w:start w:val="1"/>
      <w:numFmt w:val="decimal"/>
      <w:lvlText w:val="%1."/>
      <w:lvlJc w:val="left"/>
      <w:pPr>
        <w:ind w:left="785"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58332452">
    <w:abstractNumId w:val="9"/>
  </w:num>
  <w:num w:numId="2" w16cid:durableId="449781578">
    <w:abstractNumId w:val="0"/>
  </w:num>
  <w:num w:numId="3" w16cid:durableId="1173909994">
    <w:abstractNumId w:val="4"/>
  </w:num>
  <w:num w:numId="4" w16cid:durableId="1183739585">
    <w:abstractNumId w:val="2"/>
  </w:num>
  <w:num w:numId="5" w16cid:durableId="361634537">
    <w:abstractNumId w:val="5"/>
  </w:num>
  <w:num w:numId="6" w16cid:durableId="521280146">
    <w:abstractNumId w:val="3"/>
  </w:num>
  <w:num w:numId="7" w16cid:durableId="1428959436">
    <w:abstractNumId w:val="1"/>
  </w:num>
  <w:num w:numId="8" w16cid:durableId="474294329">
    <w:abstractNumId w:val="7"/>
  </w:num>
  <w:num w:numId="9" w16cid:durableId="829098872">
    <w:abstractNumId w:val="6"/>
  </w:num>
  <w:num w:numId="10" w16cid:durableId="1617712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C9"/>
    <w:rsid w:val="00065DFE"/>
    <w:rsid w:val="000A56A1"/>
    <w:rsid w:val="001D7953"/>
    <w:rsid w:val="00266B2E"/>
    <w:rsid w:val="003D0E55"/>
    <w:rsid w:val="003F1AEB"/>
    <w:rsid w:val="0043164E"/>
    <w:rsid w:val="00480AED"/>
    <w:rsid w:val="007058BC"/>
    <w:rsid w:val="00761F51"/>
    <w:rsid w:val="007D2C6C"/>
    <w:rsid w:val="00824F9B"/>
    <w:rsid w:val="00847C74"/>
    <w:rsid w:val="008C73F4"/>
    <w:rsid w:val="008D77C9"/>
    <w:rsid w:val="00970036"/>
    <w:rsid w:val="00A4169C"/>
    <w:rsid w:val="00A42536"/>
    <w:rsid w:val="00B93F4E"/>
    <w:rsid w:val="00BC2CE6"/>
    <w:rsid w:val="00ED4E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ACCA"/>
  <w15:chartTrackingRefBased/>
  <w15:docId w15:val="{24BDB4A5-6224-4885-BC0B-E78449BB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7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7C9"/>
    <w:pPr>
      <w:spacing w:after="0" w:line="240" w:lineRule="auto"/>
    </w:pPr>
  </w:style>
  <w:style w:type="paragraph" w:styleId="ListParagraph">
    <w:name w:val="List Paragraph"/>
    <w:aliases w:val="Table-List"/>
    <w:basedOn w:val="Normal"/>
    <w:link w:val="ListParagraphChar"/>
    <w:uiPriority w:val="34"/>
    <w:qFormat/>
    <w:rsid w:val="008D77C9"/>
    <w:pPr>
      <w:ind w:left="720"/>
      <w:contextualSpacing/>
    </w:pPr>
    <w:rPr>
      <w:lang w:val="en-US"/>
    </w:rPr>
  </w:style>
  <w:style w:type="character" w:customStyle="1" w:styleId="ListParagraphChar">
    <w:name w:val="List Paragraph Char"/>
    <w:aliases w:val="Table-List Char"/>
    <w:basedOn w:val="DefaultParagraphFont"/>
    <w:link w:val="ListParagraph"/>
    <w:uiPriority w:val="34"/>
    <w:locked/>
    <w:rsid w:val="008D77C9"/>
    <w:rPr>
      <w:lang w:val="en-US"/>
    </w:rPr>
  </w:style>
  <w:style w:type="character" w:customStyle="1" w:styleId="Heading1Char">
    <w:name w:val="Heading 1 Char"/>
    <w:basedOn w:val="DefaultParagraphFont"/>
    <w:link w:val="Heading1"/>
    <w:uiPriority w:val="9"/>
    <w:rsid w:val="008D77C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77C9"/>
    <w:rPr>
      <w:color w:val="0563C1" w:themeColor="hyperlink"/>
      <w:u w:val="single"/>
    </w:rPr>
  </w:style>
  <w:style w:type="table" w:styleId="TableGrid">
    <w:name w:val="Table Grid"/>
    <w:basedOn w:val="TableNormal"/>
    <w:uiPriority w:val="39"/>
    <w:rsid w:val="008D77C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_Heading"/>
    <w:basedOn w:val="Normal"/>
    <w:qFormat/>
    <w:rsid w:val="008D77C9"/>
    <w:pPr>
      <w:spacing w:before="120" w:after="120" w:line="276" w:lineRule="auto"/>
      <w:jc w:val="both"/>
    </w:pPr>
    <w:rPr>
      <w:rFonts w:ascii="Calibri" w:eastAsiaTheme="minorEastAsia" w:hAnsi="Calibri" w:cs="Calibri"/>
      <w:b/>
      <w:caps/>
      <w:sz w:val="20"/>
      <w:szCs w:val="20"/>
      <w:lang w:eastAsia="zh-CN"/>
    </w:rPr>
  </w:style>
  <w:style w:type="paragraph" w:customStyle="1" w:styleId="TableParagraph">
    <w:name w:val="Table Paragraph"/>
    <w:basedOn w:val="Normal"/>
    <w:uiPriority w:val="1"/>
    <w:qFormat/>
    <w:rsid w:val="008D77C9"/>
    <w:pPr>
      <w:widowControl w:val="0"/>
      <w:spacing w:after="0" w:line="240" w:lineRule="auto"/>
      <w:jc w:val="both"/>
    </w:pPr>
  </w:style>
  <w:style w:type="paragraph" w:customStyle="1" w:styleId="TableBody">
    <w:name w:val="Table_Body"/>
    <w:basedOn w:val="Normal"/>
    <w:link w:val="TableBodyChar"/>
    <w:qFormat/>
    <w:rsid w:val="008D77C9"/>
    <w:pPr>
      <w:spacing w:before="40" w:after="40" w:line="240" w:lineRule="auto"/>
    </w:pPr>
    <w:rPr>
      <w:rFonts w:eastAsia="Times New Roman" w:cstheme="majorBidi"/>
      <w:color w:val="000000" w:themeColor="text1"/>
      <w:sz w:val="21"/>
      <w:szCs w:val="21"/>
      <w:lang w:val="en-GB"/>
    </w:rPr>
  </w:style>
  <w:style w:type="character" w:customStyle="1" w:styleId="TableBodyChar">
    <w:name w:val="Table_Body Char"/>
    <w:basedOn w:val="DefaultParagraphFont"/>
    <w:link w:val="TableBody"/>
    <w:rsid w:val="008D77C9"/>
    <w:rPr>
      <w:rFonts w:eastAsia="Times New Roman" w:cstheme="majorBidi"/>
      <w:color w:val="000000" w:themeColor="text1"/>
      <w:sz w:val="21"/>
      <w:szCs w:val="21"/>
      <w:lang w:val="en-GB"/>
    </w:rPr>
  </w:style>
  <w:style w:type="paragraph" w:customStyle="1" w:styleId="Table-Heading2">
    <w:name w:val="Table-Heading 2"/>
    <w:basedOn w:val="Normal"/>
    <w:qFormat/>
    <w:rsid w:val="008D77C9"/>
    <w:pPr>
      <w:framePr w:hSpace="180" w:wrap="around" w:vAnchor="page" w:hAnchor="page" w:x="1633" w:y="1876"/>
      <w:spacing w:after="0" w:line="276" w:lineRule="auto"/>
      <w:jc w:val="center"/>
    </w:pPr>
    <w:rPr>
      <w:rFonts w:ascii="Calibri" w:eastAsia="Calibri" w:hAnsi="Calibri" w:cs="Times New Roman"/>
      <w:b/>
      <w:sz w:val="18"/>
    </w:rPr>
  </w:style>
  <w:style w:type="paragraph" w:styleId="Header">
    <w:name w:val="header"/>
    <w:basedOn w:val="Normal"/>
    <w:link w:val="HeaderChar"/>
    <w:uiPriority w:val="99"/>
    <w:unhideWhenUsed/>
    <w:rsid w:val="00ED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E9E"/>
  </w:style>
  <w:style w:type="paragraph" w:styleId="Footer">
    <w:name w:val="footer"/>
    <w:basedOn w:val="Normal"/>
    <w:link w:val="FooterChar"/>
    <w:uiPriority w:val="99"/>
    <w:unhideWhenUsed/>
    <w:rsid w:val="00ED4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E9E"/>
  </w:style>
  <w:style w:type="paragraph" w:styleId="IntenseQuote">
    <w:name w:val="Intense Quote"/>
    <w:basedOn w:val="Normal"/>
    <w:next w:val="Normal"/>
    <w:link w:val="IntenseQuoteChar"/>
    <w:uiPriority w:val="30"/>
    <w:qFormat/>
    <w:rsid w:val="00ED4E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4E9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7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Joanne Kelly</cp:lastModifiedBy>
  <cp:revision>7</cp:revision>
  <dcterms:created xsi:type="dcterms:W3CDTF">2020-11-11T12:15:00Z</dcterms:created>
  <dcterms:modified xsi:type="dcterms:W3CDTF">2024-12-04T15:17:00Z</dcterms:modified>
</cp:coreProperties>
</file>